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НЬЮ-ЙОРК, 4 ноября. /</w:t>
      </w:r>
      <w:proofErr w:type="spellStart"/>
      <w:r w:rsidRPr="00341D41">
        <w:rPr>
          <w:rFonts w:ascii="Tahoma" w:eastAsia="Times New Roman" w:hAnsi="Tahoma" w:cs="Tahoma"/>
          <w:color w:val="565656"/>
          <w:sz w:val="18"/>
          <w:szCs w:val="18"/>
          <w:lang w:eastAsia="ru-RU"/>
        </w:rPr>
        <w:t>Dow</w:t>
      </w:r>
      <w:proofErr w:type="spellEnd"/>
      <w:r w:rsidRPr="00341D41">
        <w:rPr>
          <w:rFonts w:ascii="Tahoma" w:eastAsia="Times New Roman" w:hAnsi="Tahoma" w:cs="Tahoma"/>
          <w:color w:val="565656"/>
          <w:sz w:val="18"/>
          <w:szCs w:val="18"/>
          <w:lang w:eastAsia="ru-RU"/>
        </w:rPr>
        <w:t xml:space="preserve"> </w:t>
      </w:r>
      <w:proofErr w:type="spellStart"/>
      <w:r w:rsidRPr="00341D41">
        <w:rPr>
          <w:rFonts w:ascii="Tahoma" w:eastAsia="Times New Roman" w:hAnsi="Tahoma" w:cs="Tahoma"/>
          <w:color w:val="565656"/>
          <w:sz w:val="18"/>
          <w:szCs w:val="18"/>
          <w:lang w:eastAsia="ru-RU"/>
        </w:rPr>
        <w:t>Jones</w:t>
      </w:r>
      <w:proofErr w:type="spellEnd"/>
      <w:r w:rsidRPr="00341D41">
        <w:rPr>
          <w:rFonts w:ascii="Tahoma" w:eastAsia="Times New Roman" w:hAnsi="Tahoma" w:cs="Tahoma"/>
          <w:color w:val="565656"/>
          <w:sz w:val="18"/>
          <w:szCs w:val="18"/>
          <w:lang w:eastAsia="ru-RU"/>
        </w:rPr>
        <w:t xml:space="preserve">/. Евро вырос поздним утром в среду, так как разочаровывающие данные США отодвинули назад идею о том, что Федеральная резервная система /ФРС/ США может просигнализировать о более скором, чем ожидалось, повышении процентных ставок.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&gt;Принимая во внимание, что ситуация на рынках труда США все еще сложная, и сфера услуг также по-прежнему испытывает трудности, как показали опубликованные в среду утром данные, изменение в заявлении ФРС кажется крайне маловероятным, говорит Василий Серебряков, валютный аналитик </w:t>
      </w:r>
      <w:proofErr w:type="spellStart"/>
      <w:r w:rsidRPr="00341D41">
        <w:rPr>
          <w:rFonts w:ascii="Tahoma" w:eastAsia="Times New Roman" w:hAnsi="Tahoma" w:cs="Tahoma"/>
          <w:color w:val="565656"/>
          <w:sz w:val="18"/>
          <w:szCs w:val="18"/>
          <w:lang w:eastAsia="ru-RU"/>
        </w:rPr>
        <w:t>Wells</w:t>
      </w:r>
      <w:proofErr w:type="spellEnd"/>
      <w:r w:rsidRPr="00341D41">
        <w:rPr>
          <w:rFonts w:ascii="Tahoma" w:eastAsia="Times New Roman" w:hAnsi="Tahoma" w:cs="Tahoma"/>
          <w:color w:val="565656"/>
          <w:sz w:val="18"/>
          <w:szCs w:val="18"/>
          <w:lang w:eastAsia="ru-RU"/>
        </w:rPr>
        <w:t xml:space="preserve"> </w:t>
      </w:r>
      <w:proofErr w:type="spellStart"/>
      <w:r w:rsidRPr="00341D41">
        <w:rPr>
          <w:rFonts w:ascii="Tahoma" w:eastAsia="Times New Roman" w:hAnsi="Tahoma" w:cs="Tahoma"/>
          <w:color w:val="565656"/>
          <w:sz w:val="18"/>
          <w:szCs w:val="18"/>
          <w:lang w:eastAsia="ru-RU"/>
        </w:rPr>
        <w:t>Fargo</w:t>
      </w:r>
      <w:proofErr w:type="spellEnd"/>
      <w:r w:rsidRPr="00341D41">
        <w:rPr>
          <w:rFonts w:ascii="Tahoma" w:eastAsia="Times New Roman" w:hAnsi="Tahoma" w:cs="Tahoma"/>
          <w:color w:val="565656"/>
          <w:sz w:val="18"/>
          <w:szCs w:val="18"/>
          <w:lang w:eastAsia="ru-RU"/>
        </w:rPr>
        <w:t xml:space="preserve"> в Нью-Йорке.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&gt;Поздним утром в Нью-Йорке пара евро/доллар США торговалась в системе EBS по 1,4841 против 1,4721 во вторник вечером, пара доллар/японская иена – по 90,70 против 90,37, пара евро/иена – по 134,62 против 133,00, пара британский фунт/доллар – по 1,6573 против 1,6416, пара доллар/швейцарский франк – по 1,0177 против 1,0262.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&gt;Индекс доллара, который является индикатором стоимости доллара против торгово-взвешенной корзины шести других основных валют, торговался по 75,806 против 76,320.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&gt;Однако рост рискованных активов может прекратиться, если в своем заявлении, которое будет оглашено позднее, ФРС просигнализирует об ужесточении денежно-кредитной политики в конечном итоге.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&gt;Неожиданное снижение активности в сфере услуг в октябре привело к новым опасениям относительно восстановления американской экономики. Институт управления поставками /ISM/ сообщил, что индекс для непроизводственной сферы США в октябре упал до 50,6 против 50,9 в сентябре. Экономисты прогнозировали, что индекс составит в октябре 52,0.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&gt;Данные ADP по числу рабочих мест в частном секторе, опубликованные ранее в среду, продемонстрировали сокращение рабочих мест на 203 000, как и прогнозировали экономисты. Октябрьский показатель улучшился по сравнению с сокращением рабочих мест в частном секторе на 254 000 в сентябре, но все еще указывал на сложную ситуацию с занятостью.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&gt;"В то время как восстановление явно продолжается, эти данные вновь указывают на то, что оно довольно постепенное", - говорит Серебряков.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&gt;Ввиду того, что американская экономика продолжает сталкиваться с трудностями, ФРС вряд ли изменит свое заявление относительно денежно-кредитной политики, отмечает он.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&gt;"Более слабые данные в США усиливают ощущение на рынке, что ФРС, вероятно, не внесет значительных изменений в свою позицию относительно /денежно-кредитной/ политики, и рост склонности к риску должен продолжиться", оказывая поддержку акциям, ценам на сырье, евро и другим высокодоходным валютам, добавляет он.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&gt;/Продолжение/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&gt;Инвесторы будут ждать от Комитета по операциям на открытом рынке ФРС каких-либо намеков на то, будет ли процентная ставка повышена с текущих рекордно низких уровней.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&gt;Комитет обнародует свое заявление приблизительно в 19.15 по Гринвичу. Ключевая процентная ставка ФРС, как ожидается, останется без изменений, однако любое изменение тона заявления центрального банка должно оказать поддержку доллару. Текущая позиция ФРС указывает на то, что центральный банк будет проводить мягкую денежно-кредитную политику в течение "продолжительного периода времени".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&gt;Доллар испытывает понижательное давление в условиях крайне низкого уровня процентных ставок ФРС, поскольку инвесторы стремятся получить больше дохода на фоне роста котировок на мировых рынках.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&gt;По словам аналитиков, при сохранении тона заявлений ФРС без изменений, пара евро/доллар должна снова направиться в сторону 1,50.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&gt;Вместе с тем "более неожиданным исходом станет изменение в этой ключевой части коммюнике позиции /Комитета по операциям на открытом рынке/ в сторону склонности к ужесточению денежно-кредитной политики ", при этом намеки на повышение процентных ставок поступят раньше, чем ожидалось, "а в этом случае склонность инвесторов к риску серьезно пострадает", что, в свою очередь, окажет доллару поддержку, говорит Алан Раскин, глава отдела по мировой валютной стратегии RBS в Гринвиче, штат Коннектикут.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&gt;После заседания ФРС пройдут заседания Европейского центрального банка /ЕЦБ/ и Банка Англии, которые намечены на четверг. Кроме того, данные по числу рабочих мест вне сельского хозяйства США за октябрь ожидаются в пятницу.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lastRenderedPageBreak/>
        <w:t xml:space="preserve">&gt;Канадский доллар торговался с повышением, демонстрируя рост наряду с другими валютами против доллара США, при этом наблюдалось менее выраженное нежелание инвесторов рисковать, о чем сигнализировал рост котировок акций и цен на сырьевые товары.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&gt;После самого значительного роста по сравнению с другими валютами против доллара США во вторник, канадский доллар, как полагается, повернул техническую склонность в свою пользу в краткосрочной перспективе, говорит главный валютный стратег-аналитик TD </w:t>
      </w:r>
      <w:proofErr w:type="spellStart"/>
      <w:r w:rsidRPr="00341D41">
        <w:rPr>
          <w:rFonts w:ascii="Tahoma" w:eastAsia="Times New Roman" w:hAnsi="Tahoma" w:cs="Tahoma"/>
          <w:color w:val="565656"/>
          <w:sz w:val="18"/>
          <w:szCs w:val="18"/>
          <w:lang w:eastAsia="ru-RU"/>
        </w:rPr>
        <w:t>Securities</w:t>
      </w:r>
      <w:proofErr w:type="spellEnd"/>
      <w:r w:rsidRPr="00341D41">
        <w:rPr>
          <w:rFonts w:ascii="Tahoma" w:eastAsia="Times New Roman" w:hAnsi="Tahoma" w:cs="Tahoma"/>
          <w:color w:val="565656"/>
          <w:sz w:val="18"/>
          <w:szCs w:val="18"/>
          <w:lang w:eastAsia="ru-RU"/>
        </w:rPr>
        <w:t xml:space="preserve"> </w:t>
      </w:r>
      <w:proofErr w:type="spellStart"/>
      <w:r w:rsidRPr="00341D41">
        <w:rPr>
          <w:rFonts w:ascii="Tahoma" w:eastAsia="Times New Roman" w:hAnsi="Tahoma" w:cs="Tahoma"/>
          <w:color w:val="565656"/>
          <w:sz w:val="18"/>
          <w:szCs w:val="18"/>
          <w:lang w:eastAsia="ru-RU"/>
        </w:rPr>
        <w:t>Шон</w:t>
      </w:r>
      <w:proofErr w:type="spellEnd"/>
      <w:r w:rsidRPr="00341D41">
        <w:rPr>
          <w:rFonts w:ascii="Tahoma" w:eastAsia="Times New Roman" w:hAnsi="Tahoma" w:cs="Tahoma"/>
          <w:color w:val="565656"/>
          <w:sz w:val="18"/>
          <w:szCs w:val="18"/>
          <w:lang w:eastAsia="ru-RU"/>
        </w:rPr>
        <w:t xml:space="preserve"> Осборн.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&gt;"Спустя несколько недель, когда тенденция покупок при снижении сошла на нет, мы думаем, что рынок склонен вернуться к стратегии продаж доллара США при росте, и ожидаем возобновления роста канадского доллара", - отмечает он. </w:t>
      </w:r>
    </w:p>
    <w:p w:rsidR="00341D41" w:rsidRPr="00341D41" w:rsidRDefault="00341D41" w:rsidP="00341D41">
      <w:pPr>
        <w:spacing w:before="150" w:after="0" w:line="240" w:lineRule="auto"/>
        <w:ind w:left="375" w:right="225" w:firstLine="375"/>
        <w:jc w:val="both"/>
        <w:rPr>
          <w:rFonts w:ascii="Tahoma" w:eastAsia="Times New Roman" w:hAnsi="Tahoma" w:cs="Tahoma"/>
          <w:color w:val="565656"/>
          <w:sz w:val="18"/>
          <w:szCs w:val="18"/>
          <w:lang w:eastAsia="ru-RU"/>
        </w:rPr>
      </w:pPr>
      <w:r w:rsidRPr="00341D41">
        <w:rPr>
          <w:rFonts w:ascii="Tahoma" w:eastAsia="Times New Roman" w:hAnsi="Tahoma" w:cs="Tahoma"/>
          <w:color w:val="565656"/>
          <w:sz w:val="18"/>
          <w:szCs w:val="18"/>
          <w:lang w:eastAsia="ru-RU"/>
        </w:rPr>
        <w:t xml:space="preserve">&gt;Поздним утром в среду пара доллар США/канадский доллар торговалась по 1,0608 против 1,0688 во вторник вечером. </w:t>
      </w:r>
    </w:p>
    <w:p w:rsidR="003F29E2" w:rsidRDefault="003F29E2"/>
    <w:sectPr w:rsidR="003F29E2" w:rsidSect="003F29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1D41"/>
    <w:rsid w:val="00341D41"/>
    <w:rsid w:val="003F2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600190">
      <w:bodyDiv w:val="1"/>
      <w:marLeft w:val="0"/>
      <w:marRight w:val="0"/>
      <w:marTop w:val="0"/>
      <w:marBottom w:val="0"/>
      <w:divBdr>
        <w:top w:val="none" w:sz="0" w:space="0" w:color="auto"/>
        <w:left w:val="none" w:sz="0" w:space="0" w:color="auto"/>
        <w:bottom w:val="none" w:sz="0" w:space="0" w:color="auto"/>
        <w:right w:val="none" w:sz="0" w:space="0" w:color="auto"/>
      </w:divBdr>
      <w:divsChild>
        <w:div w:id="92904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2009-11-04T17:05:00Z</dcterms:created>
  <dcterms:modified xsi:type="dcterms:W3CDTF">2009-11-04T17:06:00Z</dcterms:modified>
</cp:coreProperties>
</file>